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48817" w14:textId="77777777" w:rsidR="00A24B70" w:rsidRPr="00107981" w:rsidRDefault="00A24B70" w:rsidP="00A24B70">
      <w:pPr>
        <w:pStyle w:val="Kop1"/>
        <w:numPr>
          <w:ilvl w:val="0"/>
          <w:numId w:val="0"/>
        </w:numPr>
        <w:ind w:left="432" w:hanging="432"/>
      </w:pPr>
      <w:bookmarkStart w:id="0" w:name="_Toc15506059"/>
      <w:r w:rsidRPr="009527A5">
        <w:rPr>
          <w:rFonts w:eastAsiaTheme="majorEastAsia"/>
        </w:rPr>
        <w:t>Bijlage 1</w:t>
      </w:r>
      <w:r w:rsidRPr="0000553E">
        <w:rPr>
          <w:rFonts w:ascii="Arial" w:hAnsi="Arial"/>
        </w:rPr>
        <w:t>:</w:t>
      </w:r>
      <w:r>
        <w:rPr>
          <w:rFonts w:ascii="Arial" w:hAnsi="Arial"/>
          <w:sz w:val="20"/>
        </w:rPr>
        <w:t xml:space="preserve"> </w:t>
      </w:r>
      <w:r w:rsidRPr="00107981">
        <w:t>Staand order voor vaccinatie door verpleegkundige in CLB</w:t>
      </w:r>
      <w:r>
        <w:t xml:space="preserve"> (een voorbeeld)</w:t>
      </w:r>
      <w:bookmarkEnd w:id="0"/>
    </w:p>
    <w:p w14:paraId="35D5D936" w14:textId="77777777" w:rsidR="00A24B70" w:rsidRDefault="00A24B70" w:rsidP="00A24B70">
      <w:pPr>
        <w:pStyle w:val="Plattetekstinspringen"/>
        <w:spacing w:after="0" w:line="360" w:lineRule="auto"/>
        <w:ind w:left="284"/>
        <w:jc w:val="both"/>
        <w:rPr>
          <w:rFonts w:cs="Arial"/>
        </w:rPr>
      </w:pPr>
    </w:p>
    <w:p w14:paraId="67FAB406" w14:textId="77777777" w:rsidR="00A24B70" w:rsidRPr="00304C2D" w:rsidRDefault="00A24B70" w:rsidP="00A24B70">
      <w:pPr>
        <w:spacing w:after="0" w:line="360" w:lineRule="auto"/>
        <w:jc w:val="both"/>
        <w:rPr>
          <w:rFonts w:ascii="Calibri" w:eastAsia="Times New Roman" w:hAnsi="Calibri" w:cs="TT15Ct00"/>
          <w:sz w:val="20"/>
          <w:szCs w:val="20"/>
        </w:rPr>
      </w:pPr>
      <w:r w:rsidRPr="00304C2D">
        <w:rPr>
          <w:rFonts w:ascii="Calibri" w:eastAsia="Times New Roman" w:hAnsi="Calibri" w:cs="Arial"/>
          <w:sz w:val="20"/>
          <w:szCs w:val="20"/>
        </w:rPr>
        <w:t xml:space="preserve">Ik bevestig dat de verpleegkundigen in het CLB </w:t>
      </w:r>
      <w:r w:rsidRPr="00304C2D">
        <w:rPr>
          <w:rFonts w:ascii="Calibri" w:eastAsia="Times New Roman" w:hAnsi="Calibri" w:cs="Arial"/>
          <w:sz w:val="20"/>
          <w:szCs w:val="20"/>
          <w:highlight w:val="yellow"/>
        </w:rPr>
        <w:t>xxx</w:t>
      </w:r>
      <w:r w:rsidRPr="00304C2D">
        <w:rPr>
          <w:rFonts w:ascii="Calibri" w:eastAsia="Times New Roman" w:hAnsi="Calibri" w:cs="Arial"/>
          <w:sz w:val="20"/>
          <w:szCs w:val="20"/>
        </w:rPr>
        <w:t xml:space="preserve"> tijdens het schooljaar 2019-2020 volgende vaccins mogen toedienen</w:t>
      </w:r>
      <w:r>
        <w:rPr>
          <w:rFonts w:ascii="Calibri" w:eastAsia="Times New Roman" w:hAnsi="Calibri" w:cs="Arial"/>
          <w:sz w:val="20"/>
          <w:szCs w:val="20"/>
        </w:rPr>
        <w:t>:</w:t>
      </w:r>
    </w:p>
    <w:p w14:paraId="17D927FE" w14:textId="77777777" w:rsidR="00A24B70" w:rsidRPr="00304C2D" w:rsidRDefault="00A24B70" w:rsidP="00A24B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T15Ct00"/>
          <w:sz w:val="20"/>
          <w:szCs w:val="20"/>
          <w:lang w:eastAsia="en-US"/>
        </w:rPr>
      </w:pPr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1 dosis </w:t>
      </w:r>
      <w:proofErr w:type="spellStart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Tetravac</w:t>
      </w:r>
      <w:proofErr w:type="spellEnd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 IM bij leerlingen in het </w:t>
      </w:r>
      <w:r w:rsidRPr="00304C2D">
        <w:rPr>
          <w:rFonts w:ascii="Calibri" w:eastAsia="Calibri" w:hAnsi="Calibri" w:cs="TT15Ct00"/>
          <w:sz w:val="20"/>
          <w:szCs w:val="20"/>
          <w:lang w:eastAsia="en-US"/>
        </w:rPr>
        <w:t>eerste leerjaar van het lager onderwijs (of geboren in 2013 voor het buitengewoon onderwijs);</w:t>
      </w:r>
    </w:p>
    <w:p w14:paraId="00DFFEA3" w14:textId="77777777" w:rsidR="00A24B70" w:rsidRPr="00304C2D" w:rsidRDefault="00A24B70" w:rsidP="00A24B70">
      <w:pPr>
        <w:spacing w:after="0" w:line="240" w:lineRule="auto"/>
        <w:ind w:left="720"/>
        <w:contextualSpacing/>
        <w:jc w:val="both"/>
        <w:rPr>
          <w:rFonts w:ascii="Calibri" w:eastAsia="Calibri" w:hAnsi="Calibri" w:cs="TT15Ct00"/>
          <w:sz w:val="20"/>
          <w:szCs w:val="20"/>
          <w:lang w:eastAsia="en-US"/>
        </w:rPr>
      </w:pPr>
    </w:p>
    <w:p w14:paraId="2C387202" w14:textId="77777777" w:rsidR="00A24B70" w:rsidRPr="00304C2D" w:rsidRDefault="00A24B70" w:rsidP="00A24B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T15Ct00"/>
          <w:sz w:val="20"/>
          <w:szCs w:val="20"/>
          <w:lang w:eastAsia="en-US"/>
        </w:rPr>
      </w:pPr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1 dosis MMR VAX Pro IM bij leerlingen </w:t>
      </w:r>
      <w:r w:rsidRPr="00304C2D">
        <w:rPr>
          <w:rFonts w:ascii="Calibri" w:eastAsia="Calibri" w:hAnsi="Calibri" w:cs="TT15Ct00"/>
          <w:sz w:val="20"/>
          <w:szCs w:val="20"/>
          <w:lang w:eastAsia="en-US"/>
        </w:rPr>
        <w:t>in het vijfde leerjaar van het lager onderwijs (of geboren in 2009 voor het buitengewoon onderwijs);</w:t>
      </w:r>
    </w:p>
    <w:p w14:paraId="0C7A7273" w14:textId="77777777" w:rsidR="00A24B70" w:rsidRPr="00304C2D" w:rsidRDefault="00A24B70" w:rsidP="00A24B70">
      <w:pPr>
        <w:spacing w:after="0"/>
        <w:ind w:left="720"/>
        <w:contextualSpacing/>
        <w:jc w:val="both"/>
        <w:rPr>
          <w:rFonts w:ascii="Calibri" w:eastAsia="Calibri" w:hAnsi="Calibri" w:cs="TT15Ct00"/>
          <w:sz w:val="20"/>
          <w:szCs w:val="20"/>
          <w:lang w:eastAsia="en-US"/>
        </w:rPr>
      </w:pPr>
    </w:p>
    <w:p w14:paraId="50855BD6" w14:textId="77777777" w:rsidR="00A24B70" w:rsidRPr="00304C2D" w:rsidRDefault="00A24B70" w:rsidP="00A24B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T15Ct00"/>
          <w:sz w:val="20"/>
          <w:szCs w:val="20"/>
          <w:lang w:eastAsia="en-US"/>
        </w:rPr>
      </w:pPr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2 dosissen Gardasil9 IM met 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minimum </w:t>
      </w:r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6 maanden interval bij </w:t>
      </w:r>
      <w:r w:rsidRPr="00304C2D">
        <w:rPr>
          <w:rFonts w:ascii="Calibri" w:eastAsia="Calibri" w:hAnsi="Calibri" w:cs="TT15Ct00"/>
          <w:sz w:val="20"/>
          <w:szCs w:val="20"/>
          <w:lang w:eastAsia="en-US"/>
        </w:rPr>
        <w:t>leerlingen in het eerste jaar secundair onderwijs (of geboren in 2007 voor het buitengewoon onderwijs);</w:t>
      </w:r>
    </w:p>
    <w:p w14:paraId="27210FD3" w14:textId="77777777" w:rsidR="00A24B70" w:rsidRPr="00304C2D" w:rsidRDefault="00A24B70" w:rsidP="00A24B70">
      <w:pPr>
        <w:spacing w:after="0" w:line="240" w:lineRule="auto"/>
        <w:ind w:left="720"/>
        <w:contextualSpacing/>
        <w:jc w:val="both"/>
        <w:rPr>
          <w:rFonts w:ascii="Calibri" w:eastAsia="Calibri" w:hAnsi="Calibri" w:cs="TT15Ct00"/>
          <w:sz w:val="20"/>
          <w:szCs w:val="20"/>
          <w:lang w:eastAsia="en-US"/>
        </w:rPr>
      </w:pPr>
    </w:p>
    <w:p w14:paraId="3A68E32D" w14:textId="77777777" w:rsidR="00A24B70" w:rsidRPr="00304C2D" w:rsidRDefault="00A24B70" w:rsidP="00A24B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T15Ct00"/>
          <w:sz w:val="20"/>
          <w:szCs w:val="20"/>
          <w:lang w:eastAsia="en-US"/>
        </w:rPr>
      </w:pPr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1 dosis </w:t>
      </w:r>
      <w:proofErr w:type="spellStart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Triaxis</w:t>
      </w:r>
      <w:proofErr w:type="spellEnd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 IM bij </w:t>
      </w:r>
      <w:r w:rsidRPr="00304C2D">
        <w:rPr>
          <w:rFonts w:ascii="Calibri" w:eastAsia="Calibri" w:hAnsi="Calibri" w:cs="TT15Ct00"/>
          <w:sz w:val="20"/>
          <w:szCs w:val="20"/>
          <w:lang w:eastAsia="en-US"/>
        </w:rPr>
        <w:t>leerlingen in het derde jaar secundair onderwijs (of geboren in 2005 voor het buitengewoon onderwijs);</w:t>
      </w:r>
    </w:p>
    <w:p w14:paraId="64E000CC" w14:textId="77777777" w:rsidR="00A24B70" w:rsidRPr="00304C2D" w:rsidRDefault="00A24B70" w:rsidP="00A24B70">
      <w:pPr>
        <w:spacing w:after="0"/>
        <w:ind w:left="720"/>
        <w:contextualSpacing/>
        <w:jc w:val="both"/>
        <w:rPr>
          <w:rFonts w:ascii="Calibri" w:eastAsia="Calibri" w:hAnsi="Calibri" w:cs="TT15Ct00"/>
          <w:sz w:val="20"/>
          <w:szCs w:val="20"/>
          <w:lang w:eastAsia="en-US"/>
        </w:rPr>
      </w:pPr>
    </w:p>
    <w:p w14:paraId="008B8EF2" w14:textId="77777777" w:rsidR="00A24B70" w:rsidRPr="00304C2D" w:rsidRDefault="00A24B70" w:rsidP="00A24B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een volledig inhaalvaccinatieschema (voor schema zie ‘volledige inhaalvaccinatie onder 5 jaar’, ‘volledige inhaalvaccinatie 5-12 jaar’ en ‘volledige inhaalvaccinatie 13-18 jaar’ op </w:t>
      </w:r>
      <w:hyperlink r:id="rId7" w:history="1">
        <w:r w:rsidRPr="00304C2D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eastAsia="en-US"/>
          </w:rPr>
          <w:t>www.vwvj.be</w:t>
        </w:r>
      </w:hyperlink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)  IM bij leerlingen zonder gedocumenteerde vaccinaties in de voorgeschiedenis;</w:t>
      </w:r>
    </w:p>
    <w:p w14:paraId="04F77E8F" w14:textId="77777777" w:rsidR="00A24B70" w:rsidRPr="00304C2D" w:rsidRDefault="00A24B70" w:rsidP="00A24B70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</w:p>
    <w:p w14:paraId="25BEE09C" w14:textId="77777777" w:rsidR="00A24B70" w:rsidRPr="00304C2D" w:rsidRDefault="00A24B70" w:rsidP="00A24B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1 dosis MMR VAX Pro IM bij leerlingen die jonger zijn dan 10 jaar zonder gedocumenteerde vaccinatie tegen mazelen, bof en</w:t>
      </w:r>
      <w:r>
        <w:rPr>
          <w:rFonts w:ascii="Calibri" w:eastAsia="Calibri" w:hAnsi="Calibri" w:cs="Times New Roman"/>
          <w:sz w:val="20"/>
          <w:szCs w:val="20"/>
          <w:lang w:eastAsia="en-US"/>
        </w:rPr>
        <w:t>/of</w:t>
      </w:r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 rodehond. Dit vaccin kan op hetzelfde moment</w:t>
      </w:r>
      <w:r>
        <w:rPr>
          <w:rFonts w:ascii="Calibri" w:eastAsia="Calibri" w:hAnsi="Calibri" w:cs="Times New Roman"/>
          <w:sz w:val="20"/>
          <w:szCs w:val="20"/>
          <w:lang w:eastAsia="en-US"/>
        </w:rPr>
        <w:t>, maar op een andere plaats,</w:t>
      </w:r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 toegediend worden dan </w:t>
      </w:r>
      <w:proofErr w:type="spellStart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Tetravac</w:t>
      </w:r>
      <w:proofErr w:type="spellEnd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, </w:t>
      </w:r>
      <w:proofErr w:type="spellStart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Hexyon</w:t>
      </w:r>
      <w:proofErr w:type="spellEnd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, </w:t>
      </w:r>
      <w:proofErr w:type="spellStart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Imovac</w:t>
      </w:r>
      <w:proofErr w:type="spellEnd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 of </w:t>
      </w:r>
      <w:proofErr w:type="spellStart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Neisvac</w:t>
      </w:r>
      <w:proofErr w:type="spellEnd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-C;</w:t>
      </w:r>
    </w:p>
    <w:p w14:paraId="26BB8989" w14:textId="77777777" w:rsidR="00A24B70" w:rsidRPr="00304C2D" w:rsidRDefault="00A24B70" w:rsidP="00A24B70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</w:p>
    <w:p w14:paraId="0398248D" w14:textId="77777777" w:rsidR="00A24B70" w:rsidRPr="00304C2D" w:rsidRDefault="00A24B70" w:rsidP="00A24B70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2 dosissen MMR VAX Pro IM met een interval van minimum 4 weken bij leerlingen vanaf de leeftijd van 10 jaar zonder gedocumenteerde vaccinatie tegen mazelen, bof en rodehond. Dit vaccin kan op hetzelfde moment</w:t>
      </w:r>
      <w:r>
        <w:rPr>
          <w:rFonts w:ascii="Calibri" w:eastAsia="Calibri" w:hAnsi="Calibri" w:cs="Times New Roman"/>
          <w:sz w:val="20"/>
          <w:szCs w:val="20"/>
          <w:lang w:eastAsia="en-US"/>
        </w:rPr>
        <w:t>, maar op een andere plaats,</w:t>
      </w:r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 toegediend worden dan </w:t>
      </w:r>
      <w:proofErr w:type="spellStart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Tetravac</w:t>
      </w:r>
      <w:proofErr w:type="spellEnd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, </w:t>
      </w:r>
      <w:proofErr w:type="spellStart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Hexyon</w:t>
      </w:r>
      <w:proofErr w:type="spellEnd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, </w:t>
      </w:r>
      <w:proofErr w:type="spellStart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Triaxis</w:t>
      </w:r>
      <w:proofErr w:type="spellEnd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, </w:t>
      </w:r>
      <w:proofErr w:type="spellStart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Neisvac</w:t>
      </w:r>
      <w:proofErr w:type="spellEnd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-C, </w:t>
      </w:r>
      <w:proofErr w:type="spellStart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Engerix</w:t>
      </w:r>
      <w:proofErr w:type="spellEnd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 B of </w:t>
      </w:r>
      <w:proofErr w:type="spellStart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Imovax</w:t>
      </w:r>
      <w:proofErr w:type="spellEnd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;</w:t>
      </w:r>
    </w:p>
    <w:p w14:paraId="7EBEF3E6" w14:textId="77777777" w:rsidR="00A24B70" w:rsidRPr="00304C2D" w:rsidRDefault="00A24B70" w:rsidP="00A24B70">
      <w:pPr>
        <w:ind w:left="720"/>
        <w:contextualSpacing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</w:p>
    <w:p w14:paraId="7E9FA95D" w14:textId="77777777" w:rsidR="00A24B70" w:rsidRPr="00304C2D" w:rsidRDefault="00A24B70" w:rsidP="00A24B70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1 dosis </w:t>
      </w:r>
      <w:proofErr w:type="spellStart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Neisvac</w:t>
      </w:r>
      <w:proofErr w:type="spellEnd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-C IM bij leerlingen zonder gedocumenteerde vaccinatie tegen meningokokken C. Dit vaccin kan op hetzelfde moment</w:t>
      </w:r>
      <w:r>
        <w:rPr>
          <w:rFonts w:ascii="Calibri" w:eastAsia="Calibri" w:hAnsi="Calibri" w:cs="Times New Roman"/>
          <w:sz w:val="20"/>
          <w:szCs w:val="20"/>
          <w:lang w:eastAsia="en-US"/>
        </w:rPr>
        <w:t>, maar op een andere plaats,</w:t>
      </w:r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 toegediend worden dan </w:t>
      </w:r>
      <w:proofErr w:type="spellStart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Hexyon</w:t>
      </w:r>
      <w:proofErr w:type="spellEnd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, </w:t>
      </w:r>
      <w:proofErr w:type="spellStart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Tetravac</w:t>
      </w:r>
      <w:proofErr w:type="spellEnd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, </w:t>
      </w:r>
      <w:proofErr w:type="spellStart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Triaxis</w:t>
      </w:r>
      <w:proofErr w:type="spellEnd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, </w:t>
      </w:r>
      <w:proofErr w:type="spellStart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MMRVaxPro</w:t>
      </w:r>
      <w:proofErr w:type="spellEnd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, </w:t>
      </w:r>
      <w:proofErr w:type="spellStart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Imovax</w:t>
      </w:r>
      <w:proofErr w:type="spellEnd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 xml:space="preserve"> of </w:t>
      </w:r>
      <w:proofErr w:type="spellStart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EngerixB</w:t>
      </w:r>
      <w:proofErr w:type="spellEnd"/>
      <w:r w:rsidRPr="00304C2D">
        <w:rPr>
          <w:rFonts w:ascii="Calibri" w:eastAsia="Calibri" w:hAnsi="Calibri" w:cs="Times New Roman"/>
          <w:sz w:val="20"/>
          <w:szCs w:val="20"/>
          <w:lang w:eastAsia="en-US"/>
        </w:rPr>
        <w:t>;</w:t>
      </w:r>
    </w:p>
    <w:p w14:paraId="4E313F1C" w14:textId="77777777" w:rsidR="00A24B70" w:rsidRPr="00304C2D" w:rsidRDefault="00A24B70" w:rsidP="00A24B70">
      <w:pPr>
        <w:ind w:left="720"/>
        <w:contextualSpacing/>
        <w:rPr>
          <w:rFonts w:ascii="Calibri" w:eastAsia="Calibri" w:hAnsi="Calibri" w:cs="Times New Roman"/>
          <w:sz w:val="20"/>
          <w:szCs w:val="20"/>
          <w:lang w:eastAsia="en-US"/>
        </w:rPr>
      </w:pPr>
    </w:p>
    <w:p w14:paraId="524EE56B" w14:textId="181AE7DE" w:rsidR="00A24B70" w:rsidRPr="00304C2D" w:rsidRDefault="00A24B70" w:rsidP="00A24B7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De vaccinatie kan uitgevoerd worden op voorwaarde dat er sprake is van een geïnformeerde toestemming voor vaccinatie (cf. </w:t>
      </w:r>
      <w:hyperlink r:id="rId8" w:history="1">
        <w:r w:rsidRPr="00282CC7">
          <w:rPr>
            <w:rStyle w:val="Hyperlink"/>
            <w:rFonts w:ascii="Calibri" w:eastAsia="Calibri" w:hAnsi="Calibri" w:cs="Times New Roman"/>
            <w:sz w:val="20"/>
            <w:szCs w:val="20"/>
            <w:lang w:eastAsia="en-US"/>
          </w:rPr>
          <w:t>‘</w:t>
        </w:r>
        <w:r w:rsidRPr="00282CC7">
          <w:rPr>
            <w:rStyle w:val="Hyperlink"/>
            <w:rFonts w:ascii="Calibri" w:eastAsia="Calibri" w:hAnsi="Calibri" w:cs="Times New Roman"/>
            <w:i/>
            <w:iCs/>
            <w:sz w:val="20"/>
            <w:szCs w:val="20"/>
            <w:lang w:eastAsia="en-US"/>
          </w:rPr>
          <w:t>Toestemmingsprocedure voor vaccinatie in CLB, VWVJ 2019’</w:t>
        </w:r>
      </w:hyperlink>
      <w:bookmarkStart w:id="1" w:name="_GoBack"/>
      <w:bookmarkEnd w:id="1"/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) en de </w:t>
      </w:r>
      <w:proofErr w:type="spellStart"/>
      <w:r>
        <w:rPr>
          <w:rFonts w:ascii="Calibri" w:eastAsia="Calibri" w:hAnsi="Calibri" w:cs="Times New Roman"/>
          <w:sz w:val="20"/>
          <w:szCs w:val="20"/>
          <w:lang w:eastAsia="en-US"/>
        </w:rPr>
        <w:t>risico-analyse</w:t>
      </w:r>
      <w:proofErr w:type="spellEnd"/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 voor het vaccin negatief is. </w:t>
      </w:r>
      <w:r>
        <w:rPr>
          <w:rFonts w:ascii="Calibri" w:eastAsia="Times New Roman" w:hAnsi="Calibri" w:cs="Arial"/>
          <w:sz w:val="20"/>
          <w:szCs w:val="20"/>
        </w:rPr>
        <w:t>I</w:t>
      </w:r>
      <w:r w:rsidRPr="00304C2D">
        <w:rPr>
          <w:rFonts w:ascii="Calibri" w:eastAsia="Times New Roman" w:hAnsi="Calibri" w:cs="Arial"/>
          <w:sz w:val="20"/>
          <w:szCs w:val="20"/>
        </w:rPr>
        <w:t xml:space="preserve">nformatie en </w:t>
      </w:r>
      <w:proofErr w:type="spellStart"/>
      <w:r w:rsidRPr="00304C2D">
        <w:rPr>
          <w:rFonts w:ascii="Calibri" w:eastAsia="Times New Roman" w:hAnsi="Calibri" w:cs="Arial"/>
          <w:sz w:val="20"/>
          <w:szCs w:val="20"/>
        </w:rPr>
        <w:t>risico-analyse</w:t>
      </w:r>
      <w:proofErr w:type="spellEnd"/>
      <w:r w:rsidRPr="00304C2D">
        <w:rPr>
          <w:rFonts w:ascii="Calibri" w:eastAsia="Times New Roman" w:hAnsi="Calibri" w:cs="Arial"/>
          <w:sz w:val="20"/>
          <w:szCs w:val="20"/>
        </w:rPr>
        <w:t xml:space="preserve"> zijn conform de inhoud van de </w:t>
      </w:r>
      <w:hyperlink r:id="rId9" w:history="1">
        <w:r w:rsidRPr="00304C2D">
          <w:rPr>
            <w:rFonts w:ascii="Calibri" w:eastAsia="Times New Roman" w:hAnsi="Calibri" w:cs="Arial"/>
            <w:color w:val="0000FF"/>
            <w:sz w:val="20"/>
            <w:szCs w:val="20"/>
            <w:u w:val="single"/>
          </w:rPr>
          <w:t>informatie- en toestemmingsbrieven voor vaccinatie van de VWVJ</w:t>
        </w:r>
      </w:hyperlink>
      <w:r w:rsidRPr="00304C2D">
        <w:rPr>
          <w:rFonts w:ascii="Calibri" w:eastAsia="Times New Roman" w:hAnsi="Calibri" w:cs="Arial"/>
          <w:color w:val="0000FF"/>
          <w:sz w:val="20"/>
          <w:szCs w:val="20"/>
          <w:u w:val="single"/>
        </w:rPr>
        <w:t>)</w:t>
      </w:r>
      <w:r w:rsidRPr="00304C2D">
        <w:rPr>
          <w:rFonts w:ascii="Calibri" w:eastAsia="Times New Roman" w:hAnsi="Calibri" w:cs="Arial"/>
          <w:sz w:val="20"/>
          <w:szCs w:val="20"/>
        </w:rPr>
        <w:t>:</w:t>
      </w:r>
    </w:p>
    <w:p w14:paraId="37C42851" w14:textId="77777777" w:rsidR="00A24B70" w:rsidRPr="00304C2D" w:rsidRDefault="00A24B70" w:rsidP="00A24B70">
      <w:pPr>
        <w:spacing w:line="36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304C2D">
        <w:rPr>
          <w:rFonts w:ascii="Calibri" w:eastAsia="Times New Roman" w:hAnsi="Calibri" w:cs="Arial"/>
          <w:sz w:val="20"/>
          <w:szCs w:val="20"/>
        </w:rPr>
        <w:t xml:space="preserve">De vaccinatie dient uitgevoerd te worden volgens </w:t>
      </w:r>
      <w:r>
        <w:rPr>
          <w:rFonts w:ascii="Calibri" w:eastAsia="Times New Roman" w:hAnsi="Calibri" w:cs="Arial"/>
          <w:sz w:val="20"/>
          <w:szCs w:val="20"/>
        </w:rPr>
        <w:t>het protocol</w:t>
      </w:r>
      <w:r w:rsidRPr="00304C2D">
        <w:rPr>
          <w:rFonts w:ascii="Calibri" w:eastAsia="Times New Roman" w:hAnsi="Calibri" w:cs="Arial"/>
          <w:sz w:val="20"/>
          <w:szCs w:val="20"/>
        </w:rPr>
        <w:t xml:space="preserve"> ‘</w:t>
      </w:r>
      <w:r w:rsidRPr="00304C2D">
        <w:rPr>
          <w:rFonts w:ascii="Calibri" w:eastAsia="Times New Roman" w:hAnsi="Calibri" w:cs="Arial"/>
          <w:i/>
          <w:iCs/>
          <w:sz w:val="20"/>
          <w:szCs w:val="20"/>
        </w:rPr>
        <w:t xml:space="preserve">Intramusculaire toediening van een vaccin door  </w:t>
      </w:r>
      <w:r>
        <w:rPr>
          <w:rFonts w:ascii="Calibri" w:eastAsia="Times New Roman" w:hAnsi="Calibri" w:cs="Arial"/>
          <w:i/>
          <w:iCs/>
          <w:sz w:val="20"/>
          <w:szCs w:val="20"/>
        </w:rPr>
        <w:t xml:space="preserve">de </w:t>
      </w:r>
      <w:r w:rsidRPr="00304C2D">
        <w:rPr>
          <w:rFonts w:ascii="Calibri" w:eastAsia="Times New Roman" w:hAnsi="Calibri" w:cs="Arial"/>
          <w:i/>
          <w:iCs/>
          <w:sz w:val="20"/>
          <w:szCs w:val="20"/>
        </w:rPr>
        <w:t>CLB</w:t>
      </w:r>
      <w:r>
        <w:rPr>
          <w:rFonts w:ascii="Calibri" w:eastAsia="Times New Roman" w:hAnsi="Calibri" w:cs="Arial"/>
          <w:i/>
          <w:iCs/>
          <w:sz w:val="20"/>
          <w:szCs w:val="20"/>
        </w:rPr>
        <w:t>-verpleegkunde</w:t>
      </w:r>
      <w:r w:rsidRPr="00304C2D">
        <w:rPr>
          <w:rFonts w:ascii="Calibri" w:eastAsia="Times New Roman" w:hAnsi="Calibri" w:cs="Arial"/>
          <w:i/>
          <w:iCs/>
          <w:sz w:val="20"/>
          <w:szCs w:val="20"/>
        </w:rPr>
        <w:t>’</w:t>
      </w:r>
      <w:r w:rsidRPr="00304C2D">
        <w:rPr>
          <w:rFonts w:ascii="Calibri" w:eastAsia="Times New Roman" w:hAnsi="Calibri" w:cs="Arial"/>
          <w:sz w:val="20"/>
          <w:szCs w:val="20"/>
        </w:rPr>
        <w:t>. Als de verpleegkund</w:t>
      </w:r>
      <w:r>
        <w:rPr>
          <w:rFonts w:ascii="Calibri" w:eastAsia="Times New Roman" w:hAnsi="Calibri" w:cs="Arial"/>
          <w:sz w:val="20"/>
          <w:szCs w:val="20"/>
        </w:rPr>
        <w:t>ig</w:t>
      </w:r>
      <w:r w:rsidRPr="00304C2D">
        <w:rPr>
          <w:rFonts w:ascii="Calibri" w:eastAsia="Times New Roman" w:hAnsi="Calibri" w:cs="Arial"/>
          <w:sz w:val="20"/>
          <w:szCs w:val="20"/>
        </w:rPr>
        <w:t xml:space="preserve">e oordeelt dat de leerling niet voldoet aan de doelgroep of dat niet conform </w:t>
      </w:r>
      <w:r>
        <w:rPr>
          <w:rFonts w:ascii="Calibri" w:eastAsia="Times New Roman" w:hAnsi="Calibri" w:cs="Arial"/>
          <w:sz w:val="20"/>
          <w:szCs w:val="20"/>
        </w:rPr>
        <w:t>het protocol</w:t>
      </w:r>
      <w:r w:rsidRPr="00304C2D">
        <w:rPr>
          <w:rFonts w:ascii="Calibri" w:eastAsia="Times New Roman" w:hAnsi="Calibri" w:cs="Arial"/>
          <w:sz w:val="20"/>
          <w:szCs w:val="20"/>
        </w:rPr>
        <w:t xml:space="preserve"> kan worden gewerkt, dan mag de verpleegkundige het vaccin niet toedienen en dient de arts hiervan verwittigd te worden. </w:t>
      </w:r>
    </w:p>
    <w:p w14:paraId="7B4B7B39" w14:textId="77777777" w:rsidR="00A24B70" w:rsidRPr="00304C2D" w:rsidRDefault="00A24B70" w:rsidP="00A24B70">
      <w:pPr>
        <w:spacing w:after="0" w:line="360" w:lineRule="auto"/>
        <w:rPr>
          <w:rFonts w:ascii="Calibri" w:eastAsia="Times New Roman" w:hAnsi="Calibri" w:cs="Arial"/>
          <w:sz w:val="20"/>
          <w:szCs w:val="20"/>
        </w:rPr>
      </w:pPr>
      <w:r w:rsidRPr="00304C2D">
        <w:rPr>
          <w:rFonts w:ascii="Calibri" w:eastAsia="Times New Roman" w:hAnsi="Calibri" w:cs="Arial"/>
          <w:sz w:val="20"/>
          <w:szCs w:val="20"/>
        </w:rPr>
        <w:t>Naam coördinerende arts (+ RIZIV-nummer):……………………………………………….</w:t>
      </w:r>
    </w:p>
    <w:p w14:paraId="19C324B5" w14:textId="77777777" w:rsidR="00A24B70" w:rsidRDefault="00A24B70" w:rsidP="00A24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15"/>
        </w:tabs>
        <w:spacing w:after="0" w:line="360" w:lineRule="auto"/>
      </w:pPr>
      <w:r w:rsidRPr="00304C2D">
        <w:rPr>
          <w:rFonts w:ascii="Calibri" w:eastAsia="Times New Roman" w:hAnsi="Calibri" w:cs="Arial"/>
          <w:sz w:val="20"/>
          <w:szCs w:val="20"/>
        </w:rPr>
        <w:t>Datum:…………………………………………………………</w:t>
      </w:r>
      <w:r w:rsidRPr="00304C2D">
        <w:rPr>
          <w:rFonts w:ascii="Calibri" w:eastAsia="Times New Roman" w:hAnsi="Calibri" w:cs="Arial"/>
          <w:sz w:val="20"/>
          <w:szCs w:val="20"/>
        </w:rPr>
        <w:tab/>
        <w:t>Handtekening:………………………………………………………</w:t>
      </w:r>
      <w:r>
        <w:rPr>
          <w:rFonts w:ascii="Calibri" w:eastAsia="Times New Roman" w:hAnsi="Calibri" w:cs="Arial"/>
          <w:sz w:val="20"/>
          <w:szCs w:val="20"/>
        </w:rPr>
        <w:tab/>
      </w:r>
    </w:p>
    <w:sectPr w:rsidR="00A24B70" w:rsidSect="00A24B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FC5FB" w14:textId="77777777" w:rsidR="00F6627C" w:rsidRDefault="00F6627C" w:rsidP="00A24B70">
      <w:pPr>
        <w:spacing w:after="0" w:line="240" w:lineRule="auto"/>
      </w:pPr>
      <w:r>
        <w:separator/>
      </w:r>
    </w:p>
  </w:endnote>
  <w:endnote w:type="continuationSeparator" w:id="0">
    <w:p w14:paraId="1BF0AF51" w14:textId="77777777" w:rsidR="00F6627C" w:rsidRDefault="00F6627C" w:rsidP="00A2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21177" w14:textId="77777777" w:rsidR="00967607" w:rsidRDefault="0096760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8234F" w14:textId="77777777" w:rsidR="00A24B70" w:rsidRDefault="00A24B70" w:rsidP="00A24B70">
    <w:pPr>
      <w:pStyle w:val="Voettekst"/>
    </w:pPr>
    <w:r w:rsidRPr="00A24B70">
      <w:t xml:space="preserve">                    </w:t>
    </w:r>
  </w:p>
  <w:p w14:paraId="794F5314" w14:textId="77777777" w:rsidR="00A24B70" w:rsidRPr="00A24B70" w:rsidRDefault="00A24B70" w:rsidP="00A24B70">
    <w:pPr>
      <w:pStyle w:val="Voettekst"/>
      <w:rPr>
        <w:sz w:val="20"/>
        <w:szCs w:val="20"/>
      </w:rPr>
    </w:pPr>
    <w:r>
      <w:t xml:space="preserve">                          </w:t>
    </w:r>
    <w:r w:rsidRPr="00A24B70">
      <w:rPr>
        <w:sz w:val="20"/>
        <w:szCs w:val="20"/>
      </w:rPr>
      <w:t>PROCEDURE VOOR VACCINATIE DOOR VERPLEEGKUNDIGEN IN CLB</w:t>
    </w:r>
    <w:r w:rsidRPr="00A24B70">
      <w:rPr>
        <w:sz w:val="20"/>
        <w:szCs w:val="20"/>
      </w:rPr>
      <w:tab/>
    </w:r>
  </w:p>
  <w:p w14:paraId="73332E1C" w14:textId="0C65A18A" w:rsidR="00A24B70" w:rsidRPr="00A24B70" w:rsidRDefault="00A24B70" w:rsidP="00A24B70">
    <w:pPr>
      <w:pStyle w:val="Voettekst"/>
    </w:pPr>
    <w:r w:rsidRPr="00A24B70">
      <w:rPr>
        <w:sz w:val="20"/>
        <w:szCs w:val="20"/>
      </w:rPr>
      <w:t xml:space="preserve">             </w:t>
    </w:r>
    <w:r>
      <w:rPr>
        <w:sz w:val="20"/>
        <w:szCs w:val="20"/>
      </w:rPr>
      <w:t xml:space="preserve">         </w:t>
    </w:r>
    <w:r w:rsidRPr="00A24B70">
      <w:rPr>
        <w:sz w:val="20"/>
        <w:szCs w:val="20"/>
      </w:rPr>
      <w:t xml:space="preserve">  Vlaamse Wetenschappelijke Vereniging jeugdgezondheidszorg, </w:t>
    </w:r>
    <w:r w:rsidR="00967607">
      <w:rPr>
        <w:sz w:val="20"/>
        <w:szCs w:val="20"/>
      </w:rPr>
      <w:t>augustus</w:t>
    </w:r>
    <w:r w:rsidRPr="00A24B70">
      <w:rPr>
        <w:sz w:val="20"/>
        <w:szCs w:val="20"/>
      </w:rPr>
      <w:t xml:space="preserve"> 2019</w:t>
    </w:r>
    <w:r w:rsidRPr="00A24B70">
      <w:tab/>
      <w:t xml:space="preserve"> </w:t>
    </w:r>
    <w:r w:rsidRPr="00A24B70">
      <w:rPr>
        <w:noProof/>
      </w:rPr>
      <w:drawing>
        <wp:inline distT="0" distB="0" distL="0" distR="0" wp14:anchorId="22398866" wp14:editId="14328221">
          <wp:extent cx="311150" cy="280670"/>
          <wp:effectExtent l="0" t="0" r="0" b="508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150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7CCE27" w14:textId="77777777" w:rsidR="00A24B70" w:rsidRDefault="00A24B7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E5F49" w14:textId="77777777" w:rsidR="00967607" w:rsidRDefault="0096760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B6EEA" w14:textId="77777777" w:rsidR="00F6627C" w:rsidRDefault="00F6627C" w:rsidP="00A24B70">
      <w:pPr>
        <w:spacing w:after="0" w:line="240" w:lineRule="auto"/>
      </w:pPr>
      <w:r>
        <w:separator/>
      </w:r>
    </w:p>
  </w:footnote>
  <w:footnote w:type="continuationSeparator" w:id="0">
    <w:p w14:paraId="391FBBD9" w14:textId="77777777" w:rsidR="00F6627C" w:rsidRDefault="00F6627C" w:rsidP="00A24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3CD85" w14:textId="77777777" w:rsidR="00967607" w:rsidRDefault="0096760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92C1A" w14:textId="77777777" w:rsidR="00967607" w:rsidRDefault="0096760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91720" w14:textId="77777777" w:rsidR="00967607" w:rsidRDefault="0096760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8565C"/>
    <w:multiLevelType w:val="hybridMultilevel"/>
    <w:tmpl w:val="C48263F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029B4"/>
    <w:multiLevelType w:val="multilevel"/>
    <w:tmpl w:val="5B960824"/>
    <w:lvl w:ilvl="0">
      <w:start w:val="1"/>
      <w:numFmt w:val="decimal"/>
      <w:pStyle w:val="Kop1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B70"/>
    <w:rsid w:val="000519D0"/>
    <w:rsid w:val="00076F22"/>
    <w:rsid w:val="00967607"/>
    <w:rsid w:val="00A24B70"/>
    <w:rsid w:val="00BD3441"/>
    <w:rsid w:val="00D9453A"/>
    <w:rsid w:val="00F6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B4678"/>
  <w15:chartTrackingRefBased/>
  <w15:docId w15:val="{196EB147-8363-43F0-A000-563A5AD8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4B70"/>
    <w:pPr>
      <w:spacing w:after="200" w:line="276" w:lineRule="auto"/>
    </w:pPr>
    <w:rPr>
      <w:rFonts w:eastAsiaTheme="minorEastAsia"/>
      <w:lang w:val="nl-BE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24B70"/>
    <w:pPr>
      <w:widowControl w:val="0"/>
      <w:numPr>
        <w:numId w:val="1"/>
      </w:numPr>
      <w:pBdr>
        <w:bottom w:val="single" w:sz="4" w:space="1" w:color="236B47"/>
      </w:pBdr>
      <w:autoSpaceDE w:val="0"/>
      <w:autoSpaceDN w:val="0"/>
      <w:adjustRightInd w:val="0"/>
      <w:spacing w:before="600" w:after="120" w:line="288" w:lineRule="auto"/>
      <w:outlineLvl w:val="0"/>
    </w:pPr>
    <w:rPr>
      <w:rFonts w:ascii="Verdana" w:eastAsia="Times New Roman" w:hAnsi="Verdana" w:cs="Arial"/>
      <w:color w:val="236B47"/>
      <w:sz w:val="28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24B70"/>
    <w:pPr>
      <w:widowControl w:val="0"/>
      <w:numPr>
        <w:ilvl w:val="2"/>
        <w:numId w:val="1"/>
      </w:numPr>
      <w:pBdr>
        <w:bottom w:val="single" w:sz="4" w:space="1" w:color="236B47"/>
      </w:pBdr>
      <w:autoSpaceDE w:val="0"/>
      <w:autoSpaceDN w:val="0"/>
      <w:adjustRightInd w:val="0"/>
      <w:spacing w:before="200" w:after="80" w:line="288" w:lineRule="auto"/>
      <w:jc w:val="both"/>
      <w:outlineLvl w:val="2"/>
    </w:pPr>
    <w:rPr>
      <w:rFonts w:ascii="Verdana" w:eastAsia="Times New Roman" w:hAnsi="Verdana" w:cs="Arial"/>
      <w:color w:val="236B47"/>
      <w:szCs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24B70"/>
    <w:pPr>
      <w:widowControl w:val="0"/>
      <w:numPr>
        <w:ilvl w:val="3"/>
        <w:numId w:val="1"/>
      </w:numPr>
      <w:pBdr>
        <w:bottom w:val="single" w:sz="4" w:space="2" w:color="236B47"/>
      </w:pBdr>
      <w:autoSpaceDE w:val="0"/>
      <w:autoSpaceDN w:val="0"/>
      <w:adjustRightInd w:val="0"/>
      <w:spacing w:before="200" w:after="80" w:line="288" w:lineRule="auto"/>
      <w:jc w:val="both"/>
      <w:outlineLvl w:val="3"/>
    </w:pPr>
    <w:rPr>
      <w:rFonts w:ascii="Verdana" w:eastAsia="Times New Roman" w:hAnsi="Verdana" w:cs="Arial"/>
      <w:i/>
      <w:iCs/>
      <w:color w:val="236B47"/>
      <w:szCs w:val="24"/>
      <w:lang w:val="nl-NL"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24B70"/>
    <w:pPr>
      <w:widowControl w:val="0"/>
      <w:numPr>
        <w:ilvl w:val="4"/>
        <w:numId w:val="1"/>
      </w:numPr>
      <w:autoSpaceDE w:val="0"/>
      <w:autoSpaceDN w:val="0"/>
      <w:adjustRightInd w:val="0"/>
      <w:spacing w:before="200" w:after="80" w:line="288" w:lineRule="auto"/>
      <w:jc w:val="both"/>
      <w:outlineLvl w:val="4"/>
    </w:pPr>
    <w:rPr>
      <w:rFonts w:ascii="Verdana" w:eastAsia="Times New Roman" w:hAnsi="Verdana" w:cs="Arial"/>
      <w:color w:val="236B47"/>
      <w:sz w:val="20"/>
      <w:szCs w:val="20"/>
      <w:lang w:val="nl-NL" w:eastAsia="nl-N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24B70"/>
    <w:pPr>
      <w:widowControl w:val="0"/>
      <w:numPr>
        <w:ilvl w:val="5"/>
        <w:numId w:val="1"/>
      </w:numPr>
      <w:autoSpaceDE w:val="0"/>
      <w:autoSpaceDN w:val="0"/>
      <w:adjustRightInd w:val="0"/>
      <w:spacing w:before="280" w:after="100" w:line="288" w:lineRule="auto"/>
      <w:jc w:val="both"/>
      <w:outlineLvl w:val="5"/>
    </w:pPr>
    <w:rPr>
      <w:rFonts w:ascii="Verdana" w:eastAsia="Times New Roman" w:hAnsi="Verdana" w:cs="Arial"/>
      <w:i/>
      <w:iCs/>
      <w:color w:val="236B47"/>
      <w:sz w:val="20"/>
      <w:szCs w:val="20"/>
      <w:lang w:val="nl-NL" w:eastAsia="nl-NL"/>
    </w:rPr>
  </w:style>
  <w:style w:type="paragraph" w:styleId="Kop7">
    <w:name w:val="heading 7"/>
    <w:basedOn w:val="Standaard"/>
    <w:next w:val="Standaard"/>
    <w:link w:val="Kop7Char"/>
    <w:autoRedefine/>
    <w:uiPriority w:val="9"/>
    <w:semiHidden/>
    <w:unhideWhenUsed/>
    <w:qFormat/>
    <w:rsid w:val="00A24B70"/>
    <w:pPr>
      <w:widowControl w:val="0"/>
      <w:numPr>
        <w:ilvl w:val="6"/>
        <w:numId w:val="1"/>
      </w:numPr>
      <w:autoSpaceDE w:val="0"/>
      <w:autoSpaceDN w:val="0"/>
      <w:adjustRightInd w:val="0"/>
      <w:spacing w:before="300" w:after="120" w:line="288" w:lineRule="auto"/>
      <w:jc w:val="both"/>
      <w:outlineLvl w:val="6"/>
    </w:pPr>
    <w:rPr>
      <w:rFonts w:ascii="Century Gothic" w:eastAsia="Times New Roman" w:hAnsi="Century Gothic" w:cs="Arial"/>
      <w:caps/>
      <w:color w:val="C00000"/>
      <w:spacing w:val="10"/>
      <w:sz w:val="20"/>
      <w:szCs w:val="20"/>
      <w:lang w:val="nl-NL" w:eastAsia="nl-N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24B70"/>
    <w:pPr>
      <w:widowControl w:val="0"/>
      <w:numPr>
        <w:ilvl w:val="7"/>
        <w:numId w:val="1"/>
      </w:numPr>
      <w:autoSpaceDE w:val="0"/>
      <w:autoSpaceDN w:val="0"/>
      <w:adjustRightInd w:val="0"/>
      <w:spacing w:before="300" w:after="120" w:line="288" w:lineRule="auto"/>
      <w:jc w:val="both"/>
      <w:outlineLvl w:val="7"/>
    </w:pPr>
    <w:rPr>
      <w:rFonts w:ascii="Century Gothic" w:eastAsia="Times New Roman" w:hAnsi="Century Gothic" w:cs="Arial"/>
      <w:caps/>
      <w:spacing w:val="10"/>
      <w:sz w:val="18"/>
      <w:szCs w:val="18"/>
      <w:lang w:val="nl-NL" w:eastAsia="nl-N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24B70"/>
    <w:pPr>
      <w:widowControl w:val="0"/>
      <w:numPr>
        <w:ilvl w:val="8"/>
        <w:numId w:val="1"/>
      </w:numPr>
      <w:autoSpaceDE w:val="0"/>
      <w:autoSpaceDN w:val="0"/>
      <w:adjustRightInd w:val="0"/>
      <w:spacing w:before="300" w:after="120" w:line="288" w:lineRule="auto"/>
      <w:jc w:val="both"/>
      <w:outlineLvl w:val="8"/>
    </w:pPr>
    <w:rPr>
      <w:rFonts w:ascii="Century Gothic" w:eastAsia="Times New Roman" w:hAnsi="Century Gothic" w:cs="Arial"/>
      <w:i/>
      <w:caps/>
      <w:spacing w:val="10"/>
      <w:sz w:val="18"/>
      <w:szCs w:val="1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24B70"/>
    <w:rPr>
      <w:rFonts w:ascii="Verdana" w:eastAsia="Times New Roman" w:hAnsi="Verdana" w:cs="Arial"/>
      <w:color w:val="236B47"/>
      <w:sz w:val="28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A24B70"/>
    <w:rPr>
      <w:rFonts w:ascii="Verdana" w:eastAsia="Times New Roman" w:hAnsi="Verdana" w:cs="Arial"/>
      <w:color w:val="236B47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A24B70"/>
    <w:rPr>
      <w:rFonts w:ascii="Verdana" w:eastAsia="Times New Roman" w:hAnsi="Verdana" w:cs="Arial"/>
      <w:i/>
      <w:iCs/>
      <w:color w:val="236B47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24B70"/>
    <w:rPr>
      <w:rFonts w:ascii="Verdana" w:eastAsia="Times New Roman" w:hAnsi="Verdana" w:cs="Arial"/>
      <w:color w:val="236B47"/>
      <w:sz w:val="20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24B70"/>
    <w:rPr>
      <w:rFonts w:ascii="Verdana" w:eastAsia="Times New Roman" w:hAnsi="Verdana" w:cs="Arial"/>
      <w:i/>
      <w:iCs/>
      <w:color w:val="236B47"/>
      <w:sz w:val="20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24B70"/>
    <w:rPr>
      <w:rFonts w:ascii="Century Gothic" w:eastAsia="Times New Roman" w:hAnsi="Century Gothic" w:cs="Arial"/>
      <w:caps/>
      <w:color w:val="C00000"/>
      <w:spacing w:val="10"/>
      <w:sz w:val="20"/>
      <w:szCs w:val="20"/>
      <w:lang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24B70"/>
    <w:rPr>
      <w:rFonts w:ascii="Century Gothic" w:eastAsia="Times New Roman" w:hAnsi="Century Gothic" w:cs="Arial"/>
      <w:caps/>
      <w:spacing w:val="10"/>
      <w:sz w:val="18"/>
      <w:szCs w:val="18"/>
      <w:lang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24B70"/>
    <w:rPr>
      <w:rFonts w:ascii="Century Gothic" w:eastAsia="Times New Roman" w:hAnsi="Century Gothic" w:cs="Arial"/>
      <w:i/>
      <w:caps/>
      <w:spacing w:val="10"/>
      <w:sz w:val="18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A24B70"/>
    <w:rPr>
      <w:color w:val="727272"/>
      <w:u w:val="single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A24B70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A24B70"/>
    <w:rPr>
      <w:rFonts w:eastAsiaTheme="minorEastAsia"/>
      <w:lang w:val="nl-BE" w:eastAsia="nl-BE"/>
    </w:rPr>
  </w:style>
  <w:style w:type="paragraph" w:styleId="Koptekst">
    <w:name w:val="header"/>
    <w:basedOn w:val="Standaard"/>
    <w:link w:val="KoptekstChar"/>
    <w:uiPriority w:val="99"/>
    <w:unhideWhenUsed/>
    <w:rsid w:val="00A2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4B70"/>
    <w:rPr>
      <w:rFonts w:eastAsiaTheme="minorEastAsia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A2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4B70"/>
    <w:rPr>
      <w:rFonts w:eastAsiaTheme="minorEastAsia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wvj.be/sites/default/files/vaccinaties/vaccinaties_-_werkmaterialen/toestemming_voor_vaccinatie_in_clb_-_vwvj_-_augustus_2019_-_versie3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vwvj.b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vwvj.be/formulieren-voor-oudersjongeren-ivm-vaccinatie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Devriendt</dc:creator>
  <cp:keywords/>
  <dc:description/>
  <cp:lastModifiedBy>Ann Devriendt</cp:lastModifiedBy>
  <cp:revision>2</cp:revision>
  <dcterms:created xsi:type="dcterms:W3CDTF">2019-08-28T14:28:00Z</dcterms:created>
  <dcterms:modified xsi:type="dcterms:W3CDTF">2019-08-28T14:28:00Z</dcterms:modified>
</cp:coreProperties>
</file>